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A9D" w:rsidRPr="005F7A9D" w:rsidRDefault="005F7A9D" w:rsidP="005F7A9D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bookmarkStart w:id="0" w:name="_GoBack"/>
      <w:bookmarkEnd w:id="0"/>
    </w:p>
    <w:p w:rsidR="005F7A9D" w:rsidRPr="005F7A9D" w:rsidRDefault="005F7A9D" w:rsidP="005F7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5F7A9D" w:rsidRPr="005F7A9D" w:rsidRDefault="005F7A9D" w:rsidP="005F7A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5F7A9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55BCF1C" wp14:editId="0E256155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3" name="Рисунок 3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7A9D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B13AC88" wp14:editId="4CCEAF27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4" name="Рисунок 4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7A9D" w:rsidRPr="005F7A9D" w:rsidRDefault="005F7A9D" w:rsidP="005F7A9D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5F7A9D" w:rsidRPr="005F7A9D" w:rsidRDefault="005F7A9D" w:rsidP="005F7A9D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F7A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АДМИНИСТРАЦИЯ СИМФЕРОПОЛЬСКОГО РАЙОНА</w:t>
      </w: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7A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 КРЫМ</w:t>
      </w: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5F7A9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УПРАВЛЕНИЕ ОБРАЗОВАНИЯ</w:t>
      </w: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F7A9D" w:rsidRPr="005F7A9D" w:rsidRDefault="005F7A9D" w:rsidP="005F7A9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5F7A9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ПРИКАЗ</w:t>
      </w:r>
    </w:p>
    <w:p w:rsidR="005F7A9D" w:rsidRPr="00E661FA" w:rsidRDefault="005F7A9D" w:rsidP="005F7A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F7A9D" w:rsidRPr="000D6A2E" w:rsidRDefault="008E0257" w:rsidP="00D03024">
      <w:pPr>
        <w:spacing w:after="0" w:line="240" w:lineRule="auto"/>
        <w:ind w:right="-29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5F7A9D">
        <w:rPr>
          <w:rFonts w:ascii="Times New Roman" w:hAnsi="Times New Roman" w:cs="Times New Roman"/>
          <w:sz w:val="24"/>
          <w:szCs w:val="24"/>
          <w:lang w:val="ru-RU"/>
        </w:rPr>
        <w:t>.01.</w:t>
      </w:r>
      <w:r w:rsidR="005F7A9D" w:rsidRPr="00E661FA">
        <w:rPr>
          <w:rFonts w:ascii="Times New Roman" w:hAnsi="Times New Roman" w:cs="Times New Roman"/>
          <w:sz w:val="24"/>
          <w:szCs w:val="24"/>
        </w:rPr>
        <w:t>20</w:t>
      </w:r>
      <w:r w:rsidR="001A2457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5F7A9D" w:rsidRPr="00E661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F7A9D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F7A9D" w:rsidRPr="00E661FA">
        <w:rPr>
          <w:rFonts w:ascii="Times New Roman" w:hAnsi="Times New Roman" w:cs="Times New Roman"/>
          <w:sz w:val="24"/>
          <w:szCs w:val="24"/>
        </w:rPr>
        <w:tab/>
      </w:r>
      <w:r w:rsidR="005F7A9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="005F7A9D">
        <w:rPr>
          <w:rFonts w:ascii="Times New Roman" w:hAnsi="Times New Roman" w:cs="Times New Roman"/>
          <w:sz w:val="24"/>
          <w:szCs w:val="24"/>
          <w:lang w:val="ru-RU"/>
        </w:rPr>
        <w:t>г.Симферополь</w:t>
      </w:r>
      <w:proofErr w:type="spellEnd"/>
      <w:r w:rsidR="005F7A9D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F7A9D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F7A9D" w:rsidRPr="00E661F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F7A9D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5F7A9D" w:rsidRPr="00E661FA">
        <w:rPr>
          <w:rFonts w:ascii="Times New Roman" w:hAnsi="Times New Roman" w:cs="Times New Roman"/>
          <w:sz w:val="24"/>
          <w:szCs w:val="24"/>
        </w:rPr>
        <w:t>№</w:t>
      </w:r>
      <w:r w:rsidR="001A24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18</w:t>
      </w:r>
    </w:p>
    <w:p w:rsidR="005F7A9D" w:rsidRPr="003377C2" w:rsidRDefault="005F7A9D" w:rsidP="005F7A9D">
      <w:pPr>
        <w:spacing w:after="0" w:line="240" w:lineRule="auto"/>
        <w:ind w:left="426" w:right="-291" w:hanging="426"/>
        <w:rPr>
          <w:rFonts w:ascii="Times New Roman" w:hAnsi="Times New Roman" w:cs="Times New Roman"/>
          <w:sz w:val="24"/>
          <w:szCs w:val="24"/>
          <w:lang w:val="ru-RU"/>
        </w:rPr>
      </w:pPr>
    </w:p>
    <w:p w:rsidR="005F7A9D" w:rsidRDefault="005F7A9D" w:rsidP="00D03024">
      <w:pPr>
        <w:spacing w:after="0"/>
        <w:ind w:right="-291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итогах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953EBE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proofErr w:type="spellStart"/>
      <w:r w:rsidRPr="00953EBE">
        <w:rPr>
          <w:rFonts w:ascii="Times New Roman" w:hAnsi="Times New Roman" w:cs="Times New Roman"/>
          <w:bCs/>
          <w:iCs/>
          <w:sz w:val="24"/>
          <w:szCs w:val="24"/>
        </w:rPr>
        <w:t>повышению</w:t>
      </w:r>
      <w:proofErr w:type="spellEnd"/>
      <w:r w:rsidRPr="00953E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3EBE">
        <w:rPr>
          <w:rFonts w:ascii="Times New Roman" w:hAnsi="Times New Roman" w:cs="Times New Roman"/>
          <w:bCs/>
          <w:iCs/>
          <w:sz w:val="24"/>
          <w:szCs w:val="24"/>
        </w:rPr>
        <w:t>функциональной</w:t>
      </w:r>
      <w:proofErr w:type="spellEnd"/>
      <w:r w:rsidRPr="00953EB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3EBE">
        <w:rPr>
          <w:rFonts w:ascii="Times New Roman" w:hAnsi="Times New Roman" w:cs="Times New Roman"/>
          <w:bCs/>
          <w:iCs/>
          <w:sz w:val="24"/>
          <w:szCs w:val="24"/>
        </w:rPr>
        <w:t>грамотности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5F7A9D" w:rsidRDefault="005F7A9D" w:rsidP="00D03024">
      <w:pPr>
        <w:spacing w:after="0"/>
        <w:ind w:left="426" w:right="-291" w:hanging="426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Симферопольском районе за 1 полугодие 2023/2024 учебного года</w:t>
      </w:r>
    </w:p>
    <w:p w:rsidR="005F7A9D" w:rsidRDefault="005F7A9D" w:rsidP="006B7F04">
      <w:pPr>
        <w:spacing w:after="0"/>
        <w:ind w:left="-426" w:right="-291" w:firstLine="568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7F2CC3" w:rsidRDefault="00F64A5A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Во исполнение письма</w:t>
      </w:r>
      <w:r w:rsidRPr="00F64A5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Министерства просвещения Российской Федерации от 14.09.2021 № 03-1510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F64A5A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«Об организации работы по повышению функциональной грамотности»,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5F7A9D" w:rsidRP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приказа Министерства образования, науки и молодё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жи Республики Крым от 08.10.2024 № 1561</w:t>
      </w:r>
      <w:r w:rsidR="005F7A9D" w:rsidRP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«Об организации работы по повышен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ию функциональной грамотности», 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приказов упра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вления образования от 26.08.2024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№ 777</w:t>
      </w:r>
      <w:r w:rsidR="005F7A9D" w:rsidRPr="00BA614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 </w:t>
      </w:r>
      <w:r w:rsidR="005F7A9D" w:rsidRPr="00BA6149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утверждении  Плана мероприятий («Дорожная карта») по формированию и оценке функциональной грамотности обучающихся общеобр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азовательных организаций на 2024/2025</w:t>
      </w:r>
      <w:r w:rsidR="005F7A9D" w:rsidRPr="00BA614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учебный год»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от 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15.10.2024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№ 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993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r w:rsidR="005F7A9D" w:rsidRPr="000D6DC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 утверждении Положения о системе работы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формированию функциональной </w:t>
      </w:r>
      <w:r w:rsidR="005F7A9D" w:rsidRPr="000D6DC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грамотности обучающихся общеобразовательных учреждений  Симферопольского района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2024/2025 учебный год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 в течение </w:t>
      </w:r>
      <w:r w:rsidR="001A2457">
        <w:rPr>
          <w:rFonts w:ascii="Times New Roman" w:hAnsi="Times New Roman" w:cs="Times New Roman"/>
          <w:bCs/>
          <w:iCs/>
          <w:sz w:val="24"/>
          <w:szCs w:val="24"/>
          <w:lang w:val="ru-RU"/>
        </w:rPr>
        <w:t>1 полугодия 2024/2025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учебного года проводилась системная и целенаправленная работа</w:t>
      </w:r>
      <w:r w:rsidR="005F7A9D" w:rsidRPr="00BA6149">
        <w:t xml:space="preserve"> </w:t>
      </w:r>
      <w:r w:rsidR="005F7A9D" w:rsidRPr="00BA614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 формированию и оценке функциональной грамотности обучающихся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педагогов 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общеобразовательных</w:t>
      </w:r>
      <w:r w:rsidR="005F7A9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учреждений.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D46C76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 сайте МБОУ ДО «ЦДЮТ»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создан раздел «Функциональная грамотность», где размещены 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все региональные и муниципальные приказы на 2024/2025 учебный год; 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банк заданий для формирования функциональной грамотности обучающихся основной школ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ы (5-9 классы) по направлениям: 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читательская грамотность, математическая грамотность, естественнонаучная грам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отность,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финансовая грамотность, креативное мышление</w:t>
      </w:r>
      <w:r w:rsidR="007F2CC3">
        <w:t xml:space="preserve"> и 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глобальные компетенции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; электронный банк заданий для оценки функциональной грамотности для обучающихся и учителей; открытый банк заданий для оценки естественнонаучной грамотности (7-9 классы).</w:t>
      </w:r>
    </w:p>
    <w:p w:rsidR="001F6486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 целью функционирования информационного блока «Функциональная грамотность» на сайтах общеобразовательных организаций; изучения наполнения контента раздела сайтов по вопросам формирования функциональной г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рамотности; наличия публикаций </w:t>
      </w: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методических материалов для работы по повышению качества функциональной грамотности в общеобразовательных организациях был проведен мониторинг информационного блока «Функциональная грамотность» на сайтах общеобразовательных организаций.   В ходе мониторинга выявлено, что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42</w:t>
      </w: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общеобразовательн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ых</w:t>
      </w: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учреждени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ях</w:t>
      </w:r>
      <w:r w:rsidRPr="007E1E1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функционирует информационный блок «Функциональная грамотность».</w:t>
      </w:r>
      <w:r w:rsid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1F6486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 xml:space="preserve">На предмет достаточного наполнения контента раздела сайтов по вопросам формирования функциональной грамотности 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 наличия региональных, муниципальных и школьных документов на 2024/2025 учебный год был осуществлен мониторинг сайтов МБОУ 10.01</w:t>
      </w:r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.2025. Следует отметить 5 </w:t>
      </w:r>
      <w:proofErr w:type="spellStart"/>
      <w:proofErr w:type="gramStart"/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МБОУ: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gram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Гвардейская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№ 3»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1F6486" w:rsidRPr="001F6486">
        <w:t xml:space="preserve"> 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«Донская школа 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им.В.П.Давиденко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1F6486" w:rsidRPr="001F6486">
        <w:t xml:space="preserve"> 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Кольчугинская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1 им. 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Авраамова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Г.Н.»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Новоселовская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Трудовская</w:t>
      </w:r>
      <w:proofErr w:type="spellEnd"/>
      <w:r w:rsidR="001F6486"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имеют всю необходимую информацию.</w:t>
      </w:r>
    </w:p>
    <w:p w:rsidR="001F6486" w:rsidRDefault="001F6486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Нет 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наличия региональных, муниципальных и школьных документов на 2024/2025 учебный год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20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МБОУ: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Добровская</w:t>
      </w:r>
      <w:proofErr w:type="spellEnd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им. 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Я.М.Слонимского</w:t>
      </w:r>
      <w:proofErr w:type="spellEnd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Денисовская</w:t>
      </w:r>
      <w:proofErr w:type="spellEnd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Журавлевская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Кольчугинская</w:t>
      </w:r>
      <w:proofErr w:type="spellEnd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№2 с </w:t>
      </w:r>
      <w:proofErr w:type="spellStart"/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ымскотатарским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языком обучения»,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«Константиновская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Pr="001F6486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«Лицей Крымской весны»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Мазанская</w:t>
      </w:r>
      <w:proofErr w:type="spellEnd"/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Маленская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ED2BD4">
        <w:t>,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«Николаевская школа»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ED2BD4" w:rsidRPr="00ED2BD4">
        <w:t xml:space="preserve">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«Перовская школа-гимназия им. 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Г.А.Хачирашвили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«Пожарская школа»</w:t>
      </w:r>
      <w:r w:rsidR="00ED2BD4">
        <w:t xml:space="preserve">, </w:t>
      </w:r>
      <w:r w:rsidR="00ED2BD4" w:rsidRPr="00ED2B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D2BD4" w:rsidRPr="00ED2BD4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ED2BD4" w:rsidRPr="00ED2BD4">
        <w:rPr>
          <w:rFonts w:ascii="Times New Roman" w:hAnsi="Times New Roman" w:cs="Times New Roman"/>
          <w:sz w:val="24"/>
          <w:szCs w:val="24"/>
        </w:rPr>
        <w:t xml:space="preserve"> школа </w:t>
      </w:r>
      <w:proofErr w:type="spellStart"/>
      <w:r w:rsidR="00ED2BD4" w:rsidRPr="00ED2BD4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ED2BD4" w:rsidRPr="00ED2B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2BD4" w:rsidRPr="00ED2BD4">
        <w:rPr>
          <w:rFonts w:ascii="Times New Roman" w:hAnsi="Times New Roman" w:cs="Times New Roman"/>
          <w:sz w:val="24"/>
          <w:szCs w:val="24"/>
        </w:rPr>
        <w:t>Ф.И.Федоренко</w:t>
      </w:r>
      <w:proofErr w:type="spellEnd"/>
      <w:r w:rsidR="00ED2BD4" w:rsidRPr="00ED2BD4">
        <w:rPr>
          <w:rFonts w:ascii="Times New Roman" w:hAnsi="Times New Roman" w:cs="Times New Roman"/>
          <w:sz w:val="24"/>
          <w:szCs w:val="24"/>
        </w:rPr>
        <w:t>»</w:t>
      </w:r>
      <w:r w:rsidR="00ED2BD4" w:rsidRPr="00ED2BD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D2BD4" w:rsidRPr="00ED2BD4">
        <w:rPr>
          <w:rFonts w:ascii="Times New Roman" w:hAnsi="Times New Roman" w:cs="Times New Roman"/>
          <w:sz w:val="24"/>
          <w:szCs w:val="24"/>
        </w:rPr>
        <w:t xml:space="preserve">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Родниковская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азия»,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Скворцовская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ED2BD4">
        <w:t xml:space="preserve">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Трёхпрудненская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им.К.Д.Ушинского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 w:rsidR="00ED2BD4">
        <w:t xml:space="preserve">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«Украинская школа»</w:t>
      </w:r>
      <w:r w:rsidR="00ED2BD4">
        <w:t xml:space="preserve">, 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Чайкинская</w:t>
      </w:r>
      <w:proofErr w:type="spellEnd"/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школа»,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Чистенская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</w:t>
      </w:r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кола-гимназия им </w:t>
      </w:r>
      <w:proofErr w:type="spellStart"/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И.С.Тарасюка</w:t>
      </w:r>
      <w:proofErr w:type="spellEnd"/>
      <w:r w:rsid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»,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Широковская</w:t>
      </w:r>
      <w:proofErr w:type="spellEnd"/>
      <w:r w:rsidR="00ED2BD4"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</w:p>
    <w:p w:rsidR="001F6486" w:rsidRDefault="00ED2BD4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МБОУ «</w:t>
      </w:r>
      <w:proofErr w:type="spellStart"/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Мирновская</w:t>
      </w:r>
      <w:proofErr w:type="spellEnd"/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1 им. </w:t>
      </w:r>
      <w:proofErr w:type="spellStart"/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Н.Н.Белова</w:t>
      </w:r>
      <w:proofErr w:type="spellEnd"/>
      <w:r w:rsidRPr="00ED2BD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 w:rsidR="00C70B6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до сих пор не предоставило данные о школьном кураторе ФГ 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активную ссылку на раздел «Функциональная грамотность» на сайте школы.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 исполнение приказов управления образования от 26.08.2024 № 777 «Об утверждении Плана мероприятий («Дорожная карта») по формированию и оценке функциональной грамотности обучающихся общеобразовательных организаций на 2024/2025 учебный год», от 01.10.2024 № 921 «О проведении Недели функциональной грамотности обучающихся в 9-х классах общеобразовательных организаций на 2024/2025 учебный год» и от 12.11.2024 № 1117 «О проведении Недели функциональной грамотности обучающихся  8-х классов общеобразовательных организаций на 2024/2025 учебный год» с целью выполнения мероприятий по выстраиванию  муниципальной системы оценки качества на основе практики международных сравнительных исследований в 9-х и 8-х классах общеобразовательных учреждений  района с 11.11.2024 по 18.11.2024   и с 02.12.2024 по 10.12.2024, соответственно,   были проведены Недели функциональной грамотности по 6 направлениям: читательская грамотность; математическая грамотность; естественно-научная грамотность; финансовая грамотность; креативное мышление и глобальные компетенции с целью выявления уровня </w:t>
      </w:r>
      <w:proofErr w:type="spellStart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функциональной грамотности у учащихся ОУ Симферопольского района в процессе освоения ими основной образовательной программы основного общего образования в соответствии с федеральными образовательными стандартами.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:rsidR="00D46C76" w:rsidRPr="00D46C76" w:rsidRDefault="00D46C76" w:rsidP="006B7F04">
      <w:pPr>
        <w:shd w:val="clear" w:color="auto" w:fill="FFFFFF"/>
        <w:spacing w:after="0"/>
        <w:ind w:left="-426" w:firstLine="56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«Читательская грамотность» </w:t>
      </w:r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приняли участие учащиеся 9-х и 8-х классов из 40 ОУ Симферопольского района и все участника мониторинга справились со всеми заданиями (100%). У учащихся 9-х и 8-х классов </w:t>
      </w:r>
      <w:proofErr w:type="spellStart"/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умения сформированы на среднем уровне.</w:t>
      </w:r>
    </w:p>
    <w:p w:rsidR="00D46C76" w:rsidRPr="00D46C76" w:rsidRDefault="00D46C76" w:rsidP="006B7F04">
      <w:pPr>
        <w:shd w:val="clear" w:color="auto" w:fill="FFFFFF"/>
        <w:spacing w:after="0"/>
        <w:ind w:left="-426" w:firstLine="56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«Математическая грамотность»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принимали участие</w:t>
      </w:r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учащиеся 9-х и 8-х классов из 40 ОУ Симферопольского района.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У учащихся 9-х и 8-х классов уровень освоения основных компетенций, определяющих </w:t>
      </w:r>
      <w:proofErr w:type="spellStart"/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математической грамотности - средний и ниже.</w:t>
      </w:r>
    </w:p>
    <w:p w:rsidR="00D46C76" w:rsidRPr="00D46C76" w:rsidRDefault="00D46C76" w:rsidP="006B7F04">
      <w:pPr>
        <w:shd w:val="clear" w:color="auto" w:fill="FFFFFF"/>
        <w:spacing w:after="0"/>
        <w:ind w:left="-426" w:firstLine="56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«Естественнонаучной грамотность»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принимали участие </w:t>
      </w:r>
      <w:r w:rsidRPr="00D46C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учащиеся 9-х и 8-х классов из 40 ОУ Симферопольского района.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Анализ полученных результатов свидетельствуют об уровне </w:t>
      </w:r>
      <w:proofErr w:type="spellStart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естественнонаучной функциональной грамотности на среднем уровне - 60,4% от всех учащихся, принявших участие в мониторинге.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«Финансовая грамотность»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приняли участие учащиеся 9-х и 8-х классов из 37 МБОУ Симферопольского района. Средний процент выполнения всех заданий мониторинга составил - 59%. Уровень освоения основных компетенций, определяющих </w:t>
      </w:r>
      <w:proofErr w:type="spellStart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сформированность</w:t>
      </w:r>
      <w:proofErr w:type="spellEnd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финансовой грамотности - средний в сторону повышения.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«Креативное мышление»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приняли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участие обучающиеся 9-х и 8-х 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классов из 38 школы Симферопольского района.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результатам анализа итогов мониторинга креативное мышление сформировано у 28% детей, не сформировано у 23%. 49% обучающихся имеют средний уровень </w:t>
      </w:r>
      <w:proofErr w:type="spellStart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КМ.</w:t>
      </w:r>
    </w:p>
    <w:p w:rsidR="00D46C76" w:rsidRPr="00D46C76" w:rsidRDefault="00D46C76" w:rsidP="006B7F04">
      <w:pPr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мониторинге по направлению </w:t>
      </w:r>
      <w:r w:rsidRPr="00D46C7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«Глобальные компетенции»</w:t>
      </w: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приняли участие обучающиеся 9-х и 8-х классов из 38 школы Симферопольского района.</w:t>
      </w:r>
    </w:p>
    <w:p w:rsidR="00D46C76" w:rsidRDefault="00D46C76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D46C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Успешность выполнения заданий в среднем по району составила 55%.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:rsidR="00D46C76" w:rsidRDefault="00D46C76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Говоря об отчётности и исполнительской дисциплине предоставления отчётов по направлениям, необходимо отметить недобросовестное отношение школьных координат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ров проекта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– несвоевременная сдача отчётов, 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недоброс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овестное заполнение отчётов</w:t>
      </w:r>
      <w:r w:rsidRPr="00D46C7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.</w:t>
      </w:r>
    </w:p>
    <w:p w:rsidR="00B16041" w:rsidRDefault="00B16041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Говоря об участии школ Симферопольского района в формировании ФГ на платформе РЭШ, стоит отметить постоянных участников: «Гвардейская школа-гимназия № 2», «</w:t>
      </w:r>
      <w:proofErr w:type="spellStart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Мазанская</w:t>
      </w:r>
      <w:proofErr w:type="spellEnd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школа», «Партизанская школа им. </w:t>
      </w:r>
      <w:proofErr w:type="spellStart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А.П.Богданова</w:t>
      </w:r>
      <w:proofErr w:type="spellEnd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»,</w:t>
      </w:r>
      <w:r w:rsid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«</w:t>
      </w:r>
      <w:proofErr w:type="spellStart"/>
      <w:r w:rsid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Родниковская</w:t>
      </w:r>
      <w:proofErr w:type="spellEnd"/>
      <w:r w:rsid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школа-гимназия»,</w:t>
      </w:r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«</w:t>
      </w:r>
      <w:proofErr w:type="spellStart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Урожайновская</w:t>
      </w:r>
      <w:proofErr w:type="spellEnd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школа </w:t>
      </w:r>
      <w:proofErr w:type="spellStart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им.К.В.Варлыгина</w:t>
      </w:r>
      <w:proofErr w:type="spellEnd"/>
      <w:r w:rsidRPr="00B16041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». Доля обучающихся по общеобразовательным программам основного общего образования, достигших установленного базового значения функциональной грамотности, от общей численности обучающихся, прошедших тестирование по функциональной грамотности (8 и 9 классов), % составляет от 71% до 98%.</w:t>
      </w:r>
    </w:p>
    <w:p w:rsidR="00D46C76" w:rsidRDefault="005F7A9D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</w:t>
      </w:r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овышение уровня функциональной грамотности учащихся может быть обеспечено успешной реализацией ФГОС, т.е. за счет достижения планируемых предметных, </w:t>
      </w:r>
      <w:proofErr w:type="spellStart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метапредметных</w:t>
      </w:r>
      <w:proofErr w:type="spellEnd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личностных результатов, если в учебном процессе реализован комплексный системно-</w:t>
      </w:r>
      <w:proofErr w:type="spellStart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деятельностный</w:t>
      </w:r>
      <w:proofErr w:type="spellEnd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подход, если процесс усвоения идет как процесс решения учащимися различных классов задач, задач на применение или перенос тех знаний и тех умений, которые учитель </w:t>
      </w:r>
      <w:proofErr w:type="spellStart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>формирует.Достигнуть</w:t>
      </w:r>
      <w:proofErr w:type="spellEnd"/>
      <w:r w:rsidRPr="0006101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высоких результатов можно только в случае грамотно построенного учебно-воспитательного процесса с привлечением всех его участников</w:t>
      </w:r>
      <w:r w:rsidR="00D46C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320FDA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D13ED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Методистами МБОУ ДО «ЦДЮТ» проводится систематическая работа по повышению фу</w:t>
      </w:r>
      <w:r w:rsidR="00D46C7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нкциональной грамотности педагогов</w:t>
      </w:r>
      <w:r w:rsidRPr="00D13ED9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: </w:t>
      </w:r>
    </w:p>
    <w:p w:rsidR="00320FDA" w:rsidRPr="006B7F04" w:rsidRDefault="00320FDA" w:rsidP="006B7F04">
      <w:pPr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РМО учителей математики, 27.08.2024. При рассмотрении вопроса №3 «Особенности преподавания предмета в 2024-2025 учебном году» рассматривался блок, посвященный формированию ФГ с указанием информационных ресурсов (</w:t>
      </w:r>
      <w:hyperlink r:id="rId9" w:history="1">
        <w:r w:rsidRPr="006B7F0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en-US"/>
          </w:rPr>
          <w:t>https://krippo.ru/index.php/v-pomoshch-uchitelyu/v-pomosh-ychitelu/14-moduli/2190-funktsionalnaya-gramotnost</w:t>
        </w:r>
      </w:hyperlink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), </w:t>
      </w:r>
      <w:hyperlink r:id="rId10" w:history="1">
        <w:r w:rsidRPr="006B7F0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en-US"/>
          </w:rPr>
          <w:t>https://cdytsimf.crimeaschool.ru/matematika</w:t>
        </w:r>
      </w:hyperlink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, а так же с анализом мониторингов по формированию ФГ в основной школе.</w:t>
      </w:r>
    </w:p>
    <w:p w:rsidR="00320FDA" w:rsidRPr="006B7F04" w:rsidRDefault="00320FDA" w:rsidP="006B7F04">
      <w:pPr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РМО учителей математики, 14.10.2024 по теме «Формирование и оценка ФГ на уроках математики как инструмент по подготовке к ГИА» на базе МБОУ «</w:t>
      </w:r>
      <w:proofErr w:type="spellStart"/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Кольчугинская</w:t>
      </w:r>
      <w:proofErr w:type="spellEnd"/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школа №2 с </w:t>
      </w:r>
      <w:proofErr w:type="spellStart"/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крымскотатарским</w:t>
      </w:r>
      <w:proofErr w:type="spellEnd"/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языком обучения». </w:t>
      </w:r>
      <w:hyperlink r:id="rId11" w:history="1">
        <w:r w:rsidRPr="006B7F0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en-US"/>
          </w:rPr>
          <w:t>https://cdytsimf.crimeaschool.ru/matematika</w:t>
        </w:r>
      </w:hyperlink>
    </w:p>
    <w:p w:rsidR="00320FDA" w:rsidRPr="006B7F04" w:rsidRDefault="00320FDA" w:rsidP="006B7F04">
      <w:pPr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Были рассмотрены фрагменты уроков и практических занятий: </w:t>
      </w:r>
    </w:p>
    <w:p w:rsidR="00320FDA" w:rsidRDefault="00320FDA" w:rsidP="006B7F04">
      <w:pPr>
        <w:pStyle w:val="a5"/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20FD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Применение функциональной грамотности на уроках математики 6 класса. Расчет стоимости салата Оливье</w:t>
      </w:r>
    </w:p>
    <w:p w:rsidR="00320FDA" w:rsidRDefault="00320FDA" w:rsidP="000C5895">
      <w:pPr>
        <w:pStyle w:val="a5"/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 xml:space="preserve">Практико-ориентированные задачи на </w:t>
      </w:r>
      <w:r w:rsidRPr="00320FD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ОГЭ-9 класс</w:t>
      </w:r>
    </w:p>
    <w:p w:rsidR="00320FDA" w:rsidRDefault="00320FDA" w:rsidP="000C5895">
      <w:pPr>
        <w:pStyle w:val="a5"/>
        <w:spacing w:after="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20FDA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Применение функциональной грамотности на уроках математики 8 класса.</w:t>
      </w:r>
    </w:p>
    <w:p w:rsidR="00320FDA" w:rsidRPr="006B7F04" w:rsidRDefault="00320FDA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6B7F0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На сайте МБОУ ДО «ЦДЮТ» размещены материалы по формированию функциональной грамотности по математике: </w:t>
      </w:r>
      <w:hyperlink r:id="rId12" w:history="1">
        <w:r w:rsidRPr="006B7F04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ru-RU" w:eastAsia="en-US"/>
          </w:rPr>
          <w:t>https://cdytsimf.crimeaschool.ru/matematika</w:t>
        </w:r>
      </w:hyperlink>
    </w:p>
    <w:p w:rsidR="00320FDA" w:rsidRPr="006B7F04" w:rsidRDefault="00320FDA" w:rsidP="000C589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Семинар-практикум учителей английского языка 25.11.2024 по теме «Читательская грамотность на уроке английского языка: стратегии и алгоритм работы с текстом» </w:t>
      </w:r>
      <w:hyperlink r:id="rId13" w:history="1">
        <w:r w:rsidRPr="006B7F04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https://cdytsimf.crimeaschool.ru/materialy_rmo_shmu_sp</w:t>
        </w:r>
      </w:hyperlink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320FDA" w:rsidRPr="006B7F04" w:rsidRDefault="00320FDA" w:rsidP="000C5895">
      <w:pPr>
        <w:spacing w:after="0"/>
        <w:ind w:left="-426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Мастер-класс учителей английского языка 16.12.2024 по теме «Образовательный веб-</w:t>
      </w:r>
      <w:proofErr w:type="spellStart"/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квест</w:t>
      </w:r>
      <w:proofErr w:type="spellEnd"/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как способ формирования функциональной грамотности на уроках английского языка»</w:t>
      </w:r>
      <w:r w:rsidRPr="00320FDA">
        <w:t xml:space="preserve"> </w:t>
      </w:r>
      <w:hyperlink r:id="rId14" w:history="1">
        <w:r w:rsidRPr="006B7F04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https://cdytsimf.crimeaschool.ru/materialy_rmo_shmu_sp</w:t>
        </w:r>
      </w:hyperlink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</w:t>
      </w:r>
    </w:p>
    <w:p w:rsidR="00320FDA" w:rsidRPr="006B7F04" w:rsidRDefault="00C93B6B" w:rsidP="000C589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РМО учителей географии 22.08.2024 по теме «Знакомство педагогов с Единой рамкой компетенций по финансовой грамотности» </w:t>
      </w:r>
      <w:hyperlink r:id="rId15" w:history="1">
        <w:r w:rsidRPr="006B7F04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https://cdytsimf.crimeaschool.ru/finansovaya_gramotnost</w:t>
        </w:r>
      </w:hyperlink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C93B6B" w:rsidRPr="006B7F04" w:rsidRDefault="00C93B6B" w:rsidP="000C589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РМО учителей географии 19.12.2024 по теме «Интегрированный урок как средство формирования </w:t>
      </w:r>
      <w:proofErr w:type="spellStart"/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межпредметных</w:t>
      </w:r>
      <w:proofErr w:type="spellEnd"/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компетенций учащихся. Организация наставничества по повышению компетенций учителя географии в области формирования и оценивания функциональной (в том числе – финансовой) грамотности обучающихся» </w:t>
      </w:r>
      <w:hyperlink r:id="rId16" w:history="1">
        <w:r w:rsidRPr="006B7F04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https://cdytsimf.crimeaschool.ru/mrmo</w:t>
        </w:r>
      </w:hyperlink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330243" w:rsidRDefault="00330243" w:rsidP="000C5895">
      <w:pPr>
        <w:pStyle w:val="a5"/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ШМУ по биологии и физике по теме «Формирование естественно-научной грамотности на уроках биологии и физики» </w:t>
      </w:r>
      <w:hyperlink r:id="rId17" w:history="1">
        <w:r w:rsidRPr="00B0477C">
          <w:rPr>
            <w:rStyle w:val="a6"/>
            <w:rFonts w:ascii="Times New Roman" w:hAnsi="Times New Roman" w:cs="Times New Roman"/>
            <w:bCs/>
            <w:iCs/>
            <w:sz w:val="24"/>
            <w:szCs w:val="24"/>
            <w:lang w:val="ru-RU"/>
          </w:rPr>
          <w:t>https://cdytsimf.crimeaschool.ru/mo</w:t>
        </w:r>
      </w:hyperlink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320FDA" w:rsidRPr="006B7F04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B7F0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Тематические выезды по теме «Формирование естественно-научной и финансовой грамотности учащихся на уроках географии»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4C36DC" w:rsidRDefault="005F7A9D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Разработаны методические рекомендации по вопросам формирования и оц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енки функциональной грамотности.  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Были проведены инструктивно-методические совещания с заместит</w:t>
      </w:r>
      <w:r w:rsidR="004C36D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елями руководителя </w:t>
      </w:r>
      <w:r w:rsidRPr="00E8112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 вопросам «Организация работы по повыше</w:t>
      </w:r>
      <w:r w:rsidR="004C36D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нию функциональной грамотности </w:t>
      </w:r>
      <w:r w:rsid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Симферопольском районе на 2024/2025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учебный год».</w:t>
      </w:r>
    </w:p>
    <w:p w:rsidR="004C36DC" w:rsidRDefault="005F7A9D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Ежеквартально проводились </w:t>
      </w:r>
      <w:r w:rsidRPr="0040405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заседани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</w:t>
      </w:r>
      <w:r w:rsidRPr="0040405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рабочей группы, на котор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ых</w:t>
      </w:r>
      <w:r w:rsidRPr="0040405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были распределены функциональные обязаннос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ти каждого члена рабочей группы, </w:t>
      </w:r>
      <w:r w:rsidRPr="00404053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рассматривался план работы по развитию функциональной грамотности по каждому направлению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заслушивались отчеты ответственных по шести направлениям.</w:t>
      </w:r>
    </w:p>
    <w:p w:rsidR="005F7A9D" w:rsidRPr="004C36DC" w:rsidRDefault="005F7A9D" w:rsidP="006B7F04">
      <w:pPr>
        <w:spacing w:after="0"/>
        <w:ind w:left="-426" w:firstLine="568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Н</w:t>
      </w:r>
      <w:r w:rsidRPr="000901A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еобходимо отметить, что большое значение в формировании функциональной грамотности школьников имеет сотрудничество учеников, учителей, родителей. Если не будет понимания и гармонии в отношениях, учебно-воспитательный процесс не будет результативным. Достигнуть высоких результатов можно только в случае грамотно построенного учебно-воспитательного процесса с привлечением всех его участников.</w:t>
      </w:r>
    </w:p>
    <w:p w:rsidR="00330243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На основании проведенной работы по повышению уровня функциональной грамотности обучающихся и педагогов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общеобразовательных учреждений</w:t>
      </w:r>
      <w:r w:rsidRPr="007F2CC3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руководствуясь необходимостью дальн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ейшего развития компетенций, </w:t>
      </w:r>
    </w:p>
    <w:p w:rsidR="00330243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330243" w:rsidRDefault="00330243" w:rsidP="000C5895">
      <w:pPr>
        <w:spacing w:after="0"/>
        <w:ind w:left="-426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ПРИКАЗЫВАЮ:</w:t>
      </w:r>
    </w:p>
    <w:p w:rsidR="00330243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330243" w:rsidRDefault="00330243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Признать работу по повыше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нию функциональной грамотности в Симферопольском районе за </w:t>
      </w:r>
      <w:r w:rsidR="00341827">
        <w:rPr>
          <w:rFonts w:ascii="Times New Roman" w:hAnsi="Times New Roman" w:cs="Times New Roman"/>
          <w:bCs/>
          <w:iCs/>
          <w:sz w:val="24"/>
          <w:szCs w:val="24"/>
          <w:lang w:val="ru-RU"/>
        </w:rPr>
        <w:t>1 полугодие 2024/2025</w:t>
      </w: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учебного года удовлетворительной</w:t>
      </w:r>
    </w:p>
    <w:p w:rsidR="00330243" w:rsidRDefault="00330243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Руководителям общеобразовательных учреждений:</w:t>
      </w:r>
    </w:p>
    <w:p w:rsidR="00330243" w:rsidRPr="00330243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продолжить работу по формированию функциональной грамотности по всем направлениям.</w:t>
      </w:r>
    </w:p>
    <w:p w:rsidR="00330243" w:rsidRPr="00330243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 xml:space="preserve">2.1. проанализировать </w:t>
      </w: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итоги работы по повышению функциональной грамотности  </w:t>
      </w:r>
    </w:p>
    <w:p w:rsidR="00330243" w:rsidRPr="00330243" w:rsidRDefault="00330243" w:rsidP="006B7F04">
      <w:pPr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                        Январь,2025</w:t>
      </w: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;</w:t>
      </w:r>
    </w:p>
    <w:p w:rsidR="00330243" w:rsidRPr="00330243" w:rsidRDefault="00330243" w:rsidP="006B7F04">
      <w:p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>2.2.организовать обучение педагогов на региональных/российских мероприятиях (курсах, другое) по повышению квалификации в указанном направлении. Обратить внимание на те мероприятия, в рамках которых педагоги сами обретают умения, проверяемые в международных исследованиях PISA, обучаются способам интерпретации и оценки текста</w:t>
      </w:r>
    </w:p>
    <w:p w:rsidR="00330243" w:rsidRPr="00330243" w:rsidRDefault="00330243" w:rsidP="006B7F04">
      <w:pPr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течении 2024/2025 учебного</w:t>
      </w:r>
      <w:r w:rsidRPr="0033024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года.</w:t>
      </w:r>
    </w:p>
    <w:p w:rsidR="00B16041" w:rsidRDefault="005D18A4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Директорам МБОУ 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Добровская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им.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Я.М.Слонимского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Никитчук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Е.В.)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Денисовская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(Иванушкина А.А.)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Журавлевская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Переведенцева</w:t>
      </w:r>
      <w:proofErr w:type="spellEnd"/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Кольчугинская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№2 с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крымскотатарским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языком обучения»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санова У.С.)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«Константиновская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Маршалок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«Лицей Крымской весны»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(Гончарова Н.Г.)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Мазанская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Мусинова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И.Ю.)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Маленская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Хрыкина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С.Н.)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«Николаевская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(Бут Е.А.)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«Перовская школа-гимназия им.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Г.А.Хачирашвили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Крыжко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«Пожарская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(Берестюк Н.В.)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Перевальненская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им.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Ф.И.Федоренко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(Борисенко Т.А.)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Родниковская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Тафийчку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Ю.Ю.)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Скворцовская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Дузенко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В.Г.)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Трёхпрудненская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кола-гимназия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им.К.Д.Ушинского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 (Сафронова Е.Ш.), 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«Украинская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(Ткаченко Н.В.)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Чайкинская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Дамадаева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О.А.)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Чистенская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 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И.С.Тарасюка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Котолупова</w:t>
      </w:r>
      <w:proofErr w:type="spellEnd"/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Л.Г.)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«</w:t>
      </w:r>
      <w:proofErr w:type="spellStart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Широковская</w:t>
      </w:r>
      <w:proofErr w:type="spellEnd"/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</w:t>
      </w:r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</w:t>
      </w:r>
      <w:proofErr w:type="spellStart"/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Шипко</w:t>
      </w:r>
      <w:proofErr w:type="spellEnd"/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К.В.)</w:t>
      </w:r>
      <w:r w:rsidRPr="005D18A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обеспечить </w:t>
      </w:r>
      <w:r w:rsidR="00B16041"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нап</w:t>
      </w:r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олнение</w:t>
      </w:r>
      <w:r w:rsidR="00B16041"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контента раздела сайтов </w:t>
      </w:r>
      <w:r w:rsid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школ </w:t>
      </w:r>
      <w:r w:rsidR="00B16041"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 вопросам формирования функциональной грамотности и наличия региональных, муниципальных и школьных документов на 2024/2025 учебный год </w:t>
      </w:r>
    </w:p>
    <w:p w:rsidR="00B16041" w:rsidRDefault="00B16041" w:rsidP="006B7F04">
      <w:pPr>
        <w:pStyle w:val="a5"/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Январь, 2025;</w:t>
      </w:r>
    </w:p>
    <w:p w:rsidR="00B16041" w:rsidRPr="00B16041" w:rsidRDefault="00B16041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Директорам МБОУ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Мазанская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Мусинова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И.Ю.),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Маленская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Хрыкина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С.Н.),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Трудовская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Кибирева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Тепловская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Сеитвелиева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Э.У.),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Кольчугинская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2 с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крымскотатарским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языком обучения» (Асанова У.С.),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Родниковская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Тафийчук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Ю.Ю.),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Широковская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Шипко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К.В.), «Перовская школа-гимназия им. Г.А.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Хачирашвили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Крыжко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Н.В.), «Партизанская школа им. А.П. Богданова» (Терещенко А.В.), «Винницкая школа» (Васильченко Я.Д.), «Украинская школа» (Ткаченко Н.В.), обучающиеся которых показали низкие результаты по итогам мониторинга ФГ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8х и 9х классах</w:t>
      </w: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6 направлениям, проанализировать причины низкой результативности участия в мониторинге, итоги заслушать на совещании при директоре </w:t>
      </w:r>
    </w:p>
    <w:p w:rsidR="00B16041" w:rsidRPr="00B16041" w:rsidRDefault="00B16041" w:rsidP="006B7F04">
      <w:pPr>
        <w:pStyle w:val="a5"/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Январь, 2025;</w:t>
      </w:r>
    </w:p>
    <w:p w:rsidR="00B16041" w:rsidRPr="00B16041" w:rsidRDefault="00B16041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Директорам МБОУ «Винницкая школа» (Васильченко Я.Д.), «Гвардейская школа № 1»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Шепченко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А.И.), «Гвардейская школа-гимназия № 2» (Богданова Е.В.), «Гвардейская школа-гимназия № 3» (Чванова Е.В.),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Добровская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Я.М.Слонимского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Никитчук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Е.В.), «Донская школа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им.В.П.Давиденко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(Мельник Н.В.),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Денисовская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(Иванушкина А.А.), «Константиновская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Маршалок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М.В.), «Кубанская школа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С.П.Королёва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Скуратовская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Мазанская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Мусинова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И.Ю.),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Маленская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Хрыкина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С.Н.),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Мирновская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1» (Гуртовой А.А.),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Мирновская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2» (Мокрушина О.Н.),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Молодежненская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№ 2» (Левицкая И.С.), «Николаевская школа» (Бут Е.А.),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Новоандреевская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В.А.Осипова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» (Калугина И.Б.), «Перовская школа-гимназия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Г.А.Хачирашвили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Крыжко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Н.В.), «Первомайская школа» (Янковская Т.С.), «Пожарская школа» (Берестюк Н.В.),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Перевальненская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Ф.И.Федоренко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(Борисенко Т.А.),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Родниковская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Тафийчук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Ю.Ю.),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Скворцовская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Дузенко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В.Г.),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Тепловская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Сеитвелиева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Э.У.),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Трёхпрудненская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школа-гимназия им.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К.Д.Ушинский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(Сафронова Е.Ш.),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Укромновская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Сейтмамедова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А.К.), </w:t>
      </w: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Урожайновская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 им.</w:t>
      </w:r>
      <w:r w:rsidR="000C5895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К.В.Варлыгина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» (Сидоренко В.Г.),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Чайкинская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Дамадаева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О.А.),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Широковская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Шипко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К.В.), «Украинская школа» (Ткаченко Н.В.), «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Кленовская</w:t>
      </w:r>
      <w:proofErr w:type="spellEnd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основная школа» (</w:t>
      </w:r>
      <w:proofErr w:type="spellStart"/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Гарн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О.В.), чьи школы не принимали</w:t>
      </w: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участия в мониторингах по функциональной грамотности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 8х и 9х классах </w:t>
      </w: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 тем или иным направлени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ям, несвоевременно предоставляли</w:t>
      </w: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отчётность и достоверность данных  проанализировать причины отсутствия информации по участию школы и отчётности, и обеспечить участие в мониторингах по функциональной грамотности по всем направлениям и своевременную отчётную документацию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дальнейшем </w:t>
      </w:r>
    </w:p>
    <w:p w:rsidR="00B16041" w:rsidRPr="00B16041" w:rsidRDefault="00B16041" w:rsidP="006B7F04">
      <w:pPr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2024/2025 учебный год </w:t>
      </w:r>
    </w:p>
    <w:p w:rsidR="00B16041" w:rsidRPr="00B16041" w:rsidRDefault="00B16041" w:rsidP="006B7F04">
      <w:pPr>
        <w:pStyle w:val="a5"/>
        <w:numPr>
          <w:ilvl w:val="0"/>
          <w:numId w:val="4"/>
        </w:numPr>
        <w:spacing w:after="0"/>
        <w:ind w:left="-426" w:firstLine="56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Директорам всех МБОУ Симферопольского района организовать работу в электронном банке заданий для оценки функциональной грамотности на платформе РЭШ</w:t>
      </w:r>
    </w:p>
    <w:p w:rsidR="00B16041" w:rsidRDefault="00B16041" w:rsidP="006B7F04">
      <w:pPr>
        <w:spacing w:after="0"/>
        <w:ind w:left="-426" w:firstLine="568"/>
        <w:jc w:val="right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6041">
        <w:rPr>
          <w:rFonts w:ascii="Times New Roman" w:hAnsi="Times New Roman" w:cs="Times New Roman"/>
          <w:bCs/>
          <w:iCs/>
          <w:sz w:val="24"/>
          <w:szCs w:val="24"/>
          <w:lang w:val="ru-RU"/>
        </w:rPr>
        <w:t>2024/2025 учебный год.</w:t>
      </w:r>
    </w:p>
    <w:p w:rsidR="00B16041" w:rsidRPr="00B16041" w:rsidRDefault="005F7A9D" w:rsidP="006B7F04">
      <w:pPr>
        <w:pStyle w:val="a5"/>
        <w:numPr>
          <w:ilvl w:val="0"/>
          <w:numId w:val="4"/>
        </w:numPr>
        <w:spacing w:after="0"/>
        <w:ind w:left="-426" w:firstLine="568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B16041">
        <w:rPr>
          <w:rFonts w:ascii="Times New Roman" w:hAnsi="Times New Roman" w:cs="Times New Roman"/>
          <w:sz w:val="24"/>
          <w:szCs w:val="24"/>
          <w:lang w:val="ru-RU"/>
        </w:rPr>
        <w:t>Ответственность за исполнение данного приказа во</w:t>
      </w:r>
      <w:r w:rsidR="00B16041" w:rsidRPr="00B16041">
        <w:rPr>
          <w:rFonts w:ascii="Times New Roman" w:hAnsi="Times New Roman" w:cs="Times New Roman"/>
          <w:sz w:val="24"/>
          <w:szCs w:val="24"/>
          <w:lang w:val="ru-RU"/>
        </w:rPr>
        <w:t>зложить на мет</w:t>
      </w:r>
      <w:r w:rsidR="00341827">
        <w:rPr>
          <w:rFonts w:ascii="Times New Roman" w:hAnsi="Times New Roman" w:cs="Times New Roman"/>
          <w:sz w:val="24"/>
          <w:szCs w:val="24"/>
          <w:lang w:val="ru-RU"/>
        </w:rPr>
        <w:t xml:space="preserve">одиста </w:t>
      </w:r>
      <w:r w:rsidR="00B16041" w:rsidRPr="00B16041">
        <w:rPr>
          <w:rFonts w:ascii="Times New Roman" w:hAnsi="Times New Roman" w:cs="Times New Roman"/>
          <w:sz w:val="24"/>
          <w:szCs w:val="24"/>
          <w:lang w:val="ru-RU"/>
        </w:rPr>
        <w:t>МБОУ ДО «</w:t>
      </w:r>
      <w:proofErr w:type="gramStart"/>
      <w:r w:rsidR="00B16041" w:rsidRPr="00B16041">
        <w:rPr>
          <w:rFonts w:ascii="Times New Roman" w:hAnsi="Times New Roman" w:cs="Times New Roman"/>
          <w:sz w:val="24"/>
          <w:szCs w:val="24"/>
          <w:lang w:val="ru-RU"/>
        </w:rPr>
        <w:t>ЦДЮТ»  Юрченко</w:t>
      </w:r>
      <w:proofErr w:type="gramEnd"/>
      <w:r w:rsidR="00B16041" w:rsidRPr="00B16041">
        <w:rPr>
          <w:rFonts w:ascii="Times New Roman" w:hAnsi="Times New Roman" w:cs="Times New Roman"/>
          <w:sz w:val="24"/>
          <w:szCs w:val="24"/>
          <w:lang w:val="ru-RU"/>
        </w:rPr>
        <w:t xml:space="preserve"> О.А.</w:t>
      </w:r>
    </w:p>
    <w:p w:rsidR="005F7A9D" w:rsidRPr="00B16041" w:rsidRDefault="00341827" w:rsidP="006B7F04">
      <w:pPr>
        <w:pStyle w:val="a5"/>
        <w:numPr>
          <w:ilvl w:val="0"/>
          <w:numId w:val="4"/>
        </w:numPr>
        <w:spacing w:after="0"/>
        <w:ind w:left="-426" w:firstLine="568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выполнением </w:t>
      </w:r>
      <w:r w:rsidR="005F7A9D" w:rsidRPr="00B16041">
        <w:rPr>
          <w:rFonts w:ascii="Times New Roman" w:hAnsi="Times New Roman" w:cs="Times New Roman"/>
          <w:sz w:val="24"/>
          <w:szCs w:val="24"/>
          <w:lang w:val="ru-RU"/>
        </w:rPr>
        <w:t xml:space="preserve">приказа возложить на директора МБОУ ДО «ЦДЮТ» Т.Н. </w:t>
      </w:r>
      <w:proofErr w:type="spellStart"/>
      <w:r w:rsidR="005F7A9D" w:rsidRPr="00B16041">
        <w:rPr>
          <w:rFonts w:ascii="Times New Roman" w:hAnsi="Times New Roman" w:cs="Times New Roman"/>
          <w:sz w:val="24"/>
          <w:szCs w:val="24"/>
          <w:lang w:val="ru-RU"/>
        </w:rPr>
        <w:t>Кирияк</w:t>
      </w:r>
      <w:proofErr w:type="spellEnd"/>
      <w:r w:rsidR="005F7A9D" w:rsidRPr="00B160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7A9D" w:rsidRDefault="005F7A9D" w:rsidP="006B7F04">
      <w:pPr>
        <w:tabs>
          <w:tab w:val="left" w:pos="12333"/>
          <w:tab w:val="left" w:pos="12900"/>
        </w:tabs>
        <w:spacing w:after="0"/>
        <w:ind w:left="-426" w:right="-291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6041" w:rsidRPr="00F91190" w:rsidRDefault="00B16041" w:rsidP="006B7F04">
      <w:pPr>
        <w:tabs>
          <w:tab w:val="left" w:pos="12333"/>
          <w:tab w:val="left" w:pos="12900"/>
        </w:tabs>
        <w:spacing w:after="0"/>
        <w:ind w:left="-426" w:right="-291" w:firstLine="5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F7A9D" w:rsidRPr="000901A1" w:rsidRDefault="005F7A9D" w:rsidP="000C5895">
      <w:pPr>
        <w:tabs>
          <w:tab w:val="left" w:pos="12333"/>
          <w:tab w:val="left" w:pos="12900"/>
        </w:tabs>
        <w:spacing w:after="0"/>
        <w:ind w:left="-426" w:right="-291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F7A9D" w:rsidRPr="000901A1" w:rsidSect="007F2CC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F91190">
        <w:rPr>
          <w:rFonts w:ascii="Times New Roman" w:hAnsi="Times New Roman" w:cs="Times New Roman"/>
          <w:sz w:val="24"/>
          <w:szCs w:val="24"/>
          <w:lang w:val="ru-RU"/>
        </w:rPr>
        <w:t xml:space="preserve">Начальник управления образования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0C589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С.В. Дмитрова</w:t>
      </w:r>
    </w:p>
    <w:p w:rsidR="005F7A9D" w:rsidRDefault="005F7A9D" w:rsidP="00D0302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>С приказом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 образования</w:t>
      </w:r>
    </w:p>
    <w:p w:rsidR="005F7A9D" w:rsidRPr="0009374E" w:rsidRDefault="005F7A9D" w:rsidP="00D0302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03024">
        <w:rPr>
          <w:rFonts w:ascii="Times New Roman" w:hAnsi="Times New Roman" w:cs="Times New Roman"/>
          <w:sz w:val="24"/>
          <w:szCs w:val="24"/>
          <w:lang w:val="ru-RU"/>
        </w:rPr>
        <w:t xml:space="preserve"> 10.01.2025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D03024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09374E">
        <w:rPr>
          <w:rFonts w:ascii="Times New Roman" w:hAnsi="Times New Roman" w:cs="Times New Roman"/>
          <w:sz w:val="24"/>
          <w:szCs w:val="24"/>
          <w:lang w:val="ru-RU"/>
        </w:rPr>
        <w:t xml:space="preserve"> ознакомлены:</w:t>
      </w:r>
    </w:p>
    <w:p w:rsidR="005F7A9D" w:rsidRPr="0009374E" w:rsidRDefault="005F7A9D" w:rsidP="00D0302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4535"/>
        <w:gridCol w:w="2551"/>
      </w:tblGrid>
      <w:tr w:rsidR="00D03024" w:rsidRPr="0009374E" w:rsidTr="00D03024">
        <w:trPr>
          <w:trHeight w:val="340"/>
        </w:trPr>
        <w:tc>
          <w:tcPr>
            <w:tcW w:w="2551" w:type="dxa"/>
          </w:tcPr>
          <w:p w:rsidR="001A2457" w:rsidRPr="0009374E" w:rsidRDefault="001A2457" w:rsidP="00D03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4535" w:type="dxa"/>
          </w:tcPr>
          <w:p w:rsidR="001A2457" w:rsidRPr="0009374E" w:rsidRDefault="001A2457" w:rsidP="00D03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2551" w:type="dxa"/>
          </w:tcPr>
          <w:p w:rsidR="001A2457" w:rsidRPr="0009374E" w:rsidRDefault="001A2457" w:rsidP="00D03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D03024" w:rsidRPr="0009374E" w:rsidTr="00D03024">
        <w:trPr>
          <w:trHeight w:val="113"/>
        </w:trPr>
        <w:tc>
          <w:tcPr>
            <w:tcW w:w="2551" w:type="dxa"/>
          </w:tcPr>
          <w:p w:rsidR="001A2457" w:rsidRPr="0009374E" w:rsidRDefault="001A2457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Кирияк</w:t>
            </w:r>
            <w:proofErr w:type="spellEnd"/>
            <w:r w:rsidRPr="000937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4535" w:type="dxa"/>
          </w:tcPr>
          <w:p w:rsidR="001A2457" w:rsidRPr="0009374E" w:rsidRDefault="001A2457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A2457" w:rsidRPr="0009374E" w:rsidRDefault="00D03024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10.01.2025</w:t>
            </w:r>
          </w:p>
        </w:tc>
      </w:tr>
      <w:tr w:rsidR="00D03024" w:rsidRPr="0009374E" w:rsidTr="00D03024">
        <w:trPr>
          <w:trHeight w:val="340"/>
        </w:trPr>
        <w:tc>
          <w:tcPr>
            <w:tcW w:w="2551" w:type="dxa"/>
          </w:tcPr>
          <w:p w:rsidR="001A2457" w:rsidRPr="0009374E" w:rsidRDefault="00D03024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Юрченко О.А.</w:t>
            </w:r>
          </w:p>
        </w:tc>
        <w:tc>
          <w:tcPr>
            <w:tcW w:w="4535" w:type="dxa"/>
          </w:tcPr>
          <w:p w:rsidR="001A2457" w:rsidRPr="0009374E" w:rsidRDefault="001A2457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1A2457" w:rsidRPr="0009374E" w:rsidRDefault="00D03024" w:rsidP="00D03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10.01.2025</w:t>
            </w:r>
          </w:p>
        </w:tc>
      </w:tr>
    </w:tbl>
    <w:p w:rsidR="00DA535F" w:rsidRDefault="00DA535F" w:rsidP="00341827"/>
    <w:sectPr w:rsidR="00DA535F" w:rsidSect="00CB217D">
      <w:headerReference w:type="even" r:id="rId24"/>
      <w:headerReference w:type="default" r:id="rId25"/>
      <w:headerReference w:type="first" r:id="rId2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5C" w:rsidRDefault="0027105C">
      <w:pPr>
        <w:spacing w:after="0" w:line="240" w:lineRule="auto"/>
      </w:pPr>
      <w:r>
        <w:separator/>
      </w:r>
    </w:p>
  </w:endnote>
  <w:endnote w:type="continuationSeparator" w:id="0">
    <w:p w:rsidR="0027105C" w:rsidRDefault="0027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1" w:rsidRDefault="0073766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1" w:rsidRDefault="0073766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1" w:rsidRDefault="007376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5C" w:rsidRDefault="0027105C">
      <w:pPr>
        <w:spacing w:after="0" w:line="240" w:lineRule="auto"/>
      </w:pPr>
      <w:r>
        <w:separator/>
      </w:r>
    </w:p>
  </w:footnote>
  <w:footnote w:type="continuationSeparator" w:id="0">
    <w:p w:rsidR="0027105C" w:rsidRDefault="0027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1" w:rsidRDefault="0073766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5" o:spid="_x0000_s2050" type="#_x0000_t136" style="position:absolute;margin-left:0;margin-top:0;width:439.35pt;height:219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1" w:rsidRDefault="0073766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6" o:spid="_x0000_s2051" type="#_x0000_t136" style="position:absolute;margin-left:0;margin-top:0;width:439.35pt;height:219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1" w:rsidRDefault="0073766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4" o:spid="_x0000_s2049" type="#_x0000_t136" style="position:absolute;margin-left:0;margin-top:0;width:439.35pt;height:219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0" w:rsidRDefault="00737661">
    <w:pPr>
      <w:rPr>
        <w:sz w:val="2"/>
        <w:szCs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8" o:spid="_x0000_s2053" type="#_x0000_t136" style="position:absolute;margin-left:0;margin-top:0;width:439.35pt;height:219.6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  <w:r w:rsidR="008E0257">
      <w:rPr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AD4E4AB" wp14:editId="0455530F">
              <wp:simplePos x="0" y="0"/>
              <wp:positionH relativeFrom="page">
                <wp:posOffset>3088005</wp:posOffset>
              </wp:positionH>
              <wp:positionV relativeFrom="page">
                <wp:posOffset>722630</wp:posOffset>
              </wp:positionV>
              <wp:extent cx="2179320" cy="161290"/>
              <wp:effectExtent l="1905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FD0" w:rsidRDefault="008E0257">
                          <w:pPr>
                            <w:spacing w:line="240" w:lineRule="auto"/>
                          </w:pPr>
                          <w:r w:rsidRPr="0009374E">
                            <w:rPr>
                              <w:rStyle w:val="a4"/>
                              <w:rFonts w:eastAsiaTheme="minorEastAsia"/>
                            </w:rPr>
                            <w:t>3. Функции Рабочей группы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4E4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15pt;margin-top:56.9pt;width:171.6pt;height:12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    <v:textbox style="mso-fit-shape-to-text:t" inset="0,0,0,0">
                <w:txbxContent>
                  <w:p w:rsidR="00244FD0" w:rsidRDefault="008E0257">
                    <w:pPr>
                      <w:spacing w:line="240" w:lineRule="auto"/>
                    </w:pPr>
                    <w:r w:rsidRPr="0009374E">
                      <w:rPr>
                        <w:rStyle w:val="a4"/>
                        <w:rFonts w:eastAsiaTheme="minorEastAsia"/>
                      </w:rPr>
                      <w:t>3. Функции Рабочей группы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1" w:rsidRDefault="0073766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9" o:spid="_x0000_s2054" type="#_x0000_t136" style="position:absolute;margin-left:0;margin-top:0;width:439.35pt;height:219.6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661" w:rsidRDefault="00737661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6089737" o:spid="_x0000_s2052" type="#_x0000_t136" style="position:absolute;margin-left:0;margin-top:0;width:439.35pt;height:219.6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32C6"/>
    <w:multiLevelType w:val="hybridMultilevel"/>
    <w:tmpl w:val="18E8B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B26CF2"/>
    <w:multiLevelType w:val="hybridMultilevel"/>
    <w:tmpl w:val="84F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5620A"/>
    <w:multiLevelType w:val="hybridMultilevel"/>
    <w:tmpl w:val="2DE6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13B2"/>
    <w:multiLevelType w:val="hybridMultilevel"/>
    <w:tmpl w:val="B914D40E"/>
    <w:lvl w:ilvl="0" w:tplc="65BC4ED6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9D"/>
    <w:rsid w:val="000445FB"/>
    <w:rsid w:val="000C5895"/>
    <w:rsid w:val="001A2457"/>
    <w:rsid w:val="001F6486"/>
    <w:rsid w:val="00207680"/>
    <w:rsid w:val="002666A9"/>
    <w:rsid w:val="0027105C"/>
    <w:rsid w:val="002A51F5"/>
    <w:rsid w:val="00320FDA"/>
    <w:rsid w:val="00330243"/>
    <w:rsid w:val="00341827"/>
    <w:rsid w:val="003C332D"/>
    <w:rsid w:val="004C36DC"/>
    <w:rsid w:val="004D036F"/>
    <w:rsid w:val="005D18A4"/>
    <w:rsid w:val="005F7A9D"/>
    <w:rsid w:val="006B7F04"/>
    <w:rsid w:val="00737661"/>
    <w:rsid w:val="007F2CC3"/>
    <w:rsid w:val="008E0257"/>
    <w:rsid w:val="00B16041"/>
    <w:rsid w:val="00C70B66"/>
    <w:rsid w:val="00C93B6B"/>
    <w:rsid w:val="00D03024"/>
    <w:rsid w:val="00D46C76"/>
    <w:rsid w:val="00DA535F"/>
    <w:rsid w:val="00ED2BD4"/>
    <w:rsid w:val="00F64A5A"/>
    <w:rsid w:val="00F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CC589D9-E451-49ED-9E74-BFBF389B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9D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A9D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Колонтитул"/>
    <w:basedOn w:val="a0"/>
    <w:rsid w:val="005F7A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320F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20FDA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1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1827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73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7661"/>
    <w:rPr>
      <w:rFonts w:eastAsiaTheme="minorEastAsia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3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7661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dytsimf.crimeaschool.ru/materialy_rmo_shmu_sp" TargetMode="External"/><Relationship Id="rId18" Type="http://schemas.openxmlformats.org/officeDocument/2006/relationships/header" Target="header1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cdytsimf.crimeaschool.ru/matematika" TargetMode="External"/><Relationship Id="rId17" Type="http://schemas.openxmlformats.org/officeDocument/2006/relationships/hyperlink" Target="https://cdytsimf.crimeaschool.ru/mo" TargetMode="Externa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s://cdytsimf.crimeaschool.ru/mrmo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ytsimf.crimeaschool.ru/matematika" TargetMode="Externa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yperlink" Target="https://cdytsimf.crimeaschool.ru/finansovaya_gramotnost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hyperlink" Target="https://cdytsimf.crimeaschool.ru/matematik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krippo.ru/index.php/v-pomoshch-uchitelyu/v-pomosh-ychitelu/14-moduli/2190-funktsionalnaya-gramotnost" TargetMode="External"/><Relationship Id="rId14" Type="http://schemas.openxmlformats.org/officeDocument/2006/relationships/hyperlink" Target="https://cdytsimf.crimeaschool.ru/materialy_rmo_shmu_sp" TargetMode="Externa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8</cp:revision>
  <cp:lastPrinted>2025-01-14T12:27:00Z</cp:lastPrinted>
  <dcterms:created xsi:type="dcterms:W3CDTF">2025-01-14T11:39:00Z</dcterms:created>
  <dcterms:modified xsi:type="dcterms:W3CDTF">2025-01-14T12:33:00Z</dcterms:modified>
</cp:coreProperties>
</file>